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color w:val="000000" w:themeColor="text1"/>
          <w:sz w:val="28"/>
          <w:szCs w:val="28"/>
          <w14:textFill>
            <w14:solidFill>
              <w14:schemeClr w14:val="tx1"/>
            </w14:solidFill>
          </w14:textFill>
        </w:rPr>
        <w:t>202</w:t>
      </w:r>
      <w:r>
        <w:rPr>
          <w:rFonts w:hint="eastAsia" w:ascii="仿宋_GB2312" w:hAnsi="宋体" w:eastAsia="仿宋_GB2312"/>
          <w:color w:val="000000" w:themeColor="text1"/>
          <w:sz w:val="28"/>
          <w:szCs w:val="28"/>
          <w14:textFill>
            <w14:solidFill>
              <w14:schemeClr w14:val="tx1"/>
            </w14:solidFill>
          </w14:textFill>
        </w:rPr>
        <w:t>3</w:t>
      </w:r>
      <w:r>
        <w:rPr>
          <w:rFonts w:hint="eastAsia" w:ascii="仿宋_GB2312" w:hAnsi="宋体" w:eastAsia="仿宋_GB2312"/>
          <w:sz w:val="28"/>
          <w:szCs w:val="28"/>
        </w:rPr>
        <w:t>年度）</w:t>
      </w:r>
    </w:p>
    <w:p>
      <w:pPr>
        <w:spacing w:line="240" w:lineRule="exact"/>
        <w:rPr>
          <w:rFonts w:ascii="仿宋_GB2312" w:hAnsi="宋体" w:eastAsia="仿宋_GB2312"/>
          <w:sz w:val="30"/>
          <w:szCs w:val="30"/>
        </w:rPr>
      </w:pPr>
    </w:p>
    <w:tbl>
      <w:tblPr>
        <w:tblStyle w:val="5"/>
        <w:tblW w:w="9038" w:type="dxa"/>
        <w:jc w:val="center"/>
        <w:tblLayout w:type="fixed"/>
        <w:tblCellMar>
          <w:top w:w="0" w:type="dxa"/>
          <w:left w:w="108" w:type="dxa"/>
          <w:bottom w:w="0" w:type="dxa"/>
          <w:right w:w="108" w:type="dxa"/>
        </w:tblCellMar>
      </w:tblPr>
      <w:tblGrid>
        <w:gridCol w:w="585"/>
        <w:gridCol w:w="975"/>
        <w:gridCol w:w="1105"/>
        <w:gridCol w:w="98"/>
        <w:gridCol w:w="1134"/>
        <w:gridCol w:w="850"/>
        <w:gridCol w:w="142"/>
        <w:gridCol w:w="709"/>
        <w:gridCol w:w="283"/>
        <w:gridCol w:w="618"/>
        <w:gridCol w:w="374"/>
        <w:gridCol w:w="189"/>
        <w:gridCol w:w="563"/>
        <w:gridCol w:w="382"/>
        <w:gridCol w:w="1031"/>
      </w:tblGrid>
      <w:tr>
        <w:tblPrEx>
          <w:tblCellMar>
            <w:top w:w="0" w:type="dxa"/>
            <w:left w:w="108" w:type="dxa"/>
            <w:bottom w:w="0" w:type="dxa"/>
            <w:right w:w="108" w:type="dxa"/>
          </w:tblCellMar>
        </w:tblPrEx>
        <w:trPr>
          <w:trHeight w:val="459"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Cs w:val="21"/>
                <w:highlight w:val="yellow"/>
                <w14:textFill>
                  <w14:solidFill>
                    <w14:schemeClr w14:val="tx1"/>
                  </w14:solidFill>
                </w14:textFill>
              </w:rPr>
            </w:pPr>
            <w:r>
              <w:rPr>
                <w:rFonts w:hint="eastAsia" w:ascii="仿宋_GB2312" w:hAnsi="宋体" w:eastAsia="仿宋_GB2312" w:cs="宋体"/>
                <w:color w:val="000000" w:themeColor="text1"/>
                <w:kern w:val="0"/>
                <w:szCs w:val="21"/>
                <w14:textFill>
                  <w14:solidFill>
                    <w14:schemeClr w14:val="tx1"/>
                  </w14:solidFill>
                </w14:textFill>
              </w:rPr>
              <w:t>强地面运动影响场评估类项目</w:t>
            </w:r>
            <w:bookmarkStart w:id="0" w:name="_GoBack"/>
            <w:bookmarkEnd w:id="0"/>
          </w:p>
        </w:tc>
      </w:tr>
      <w:tr>
        <w:tblPrEx>
          <w:tblCellMar>
            <w:top w:w="0" w:type="dxa"/>
            <w:left w:w="108" w:type="dxa"/>
            <w:bottom w:w="0" w:type="dxa"/>
            <w:right w:w="108" w:type="dxa"/>
          </w:tblCellMar>
        </w:tblPrEx>
        <w:trPr>
          <w:trHeight w:val="630"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3329"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themeColor="text1"/>
                <w:kern w:val="0"/>
                <w:szCs w:val="21"/>
                <w14:textFill>
                  <w14:solidFill>
                    <w14:schemeClr w14:val="tx1"/>
                  </w14:solidFill>
                </w14:textFill>
              </w:rPr>
              <w:t>北京市地震局</w:t>
            </w: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单位</w:t>
            </w:r>
          </w:p>
        </w:tc>
        <w:tc>
          <w:tcPr>
            <w:tcW w:w="315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themeColor="text1"/>
                <w:kern w:val="0"/>
                <w:szCs w:val="21"/>
                <w14:textFill>
                  <w14:solidFill>
                    <w14:schemeClr w14:val="tx1"/>
                  </w14:solidFill>
                </w14:textFill>
              </w:rPr>
              <w:t>北京市地震局</w:t>
            </w:r>
          </w:p>
        </w:tc>
      </w:tr>
      <w:tr>
        <w:tblPrEx>
          <w:tblCellMar>
            <w:top w:w="0" w:type="dxa"/>
            <w:left w:w="108" w:type="dxa"/>
            <w:bottom w:w="0" w:type="dxa"/>
            <w:right w:w="108" w:type="dxa"/>
          </w:tblCellMar>
        </w:tblPrEx>
        <w:trPr>
          <w:trHeight w:val="709"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3329"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themeColor="text1"/>
                <w:kern w:val="0"/>
                <w:szCs w:val="21"/>
                <w14:textFill>
                  <w14:solidFill>
                    <w14:schemeClr w14:val="tx1"/>
                  </w14:solidFill>
                </w14:textFill>
              </w:rPr>
              <w:t>赵帅</w:t>
            </w: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电话</w:t>
            </w:r>
          </w:p>
        </w:tc>
        <w:tc>
          <w:tcPr>
            <w:tcW w:w="315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color w:val="000000" w:themeColor="text1"/>
                <w:kern w:val="0"/>
                <w:szCs w:val="21"/>
                <w14:textFill>
                  <w14:solidFill>
                    <w14:schemeClr w14:val="tx1"/>
                  </w14:solidFill>
                </w14:textFill>
              </w:rPr>
              <w:t>13811333823</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20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113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103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1279"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20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color w:val="000000" w:themeColor="text1"/>
                <w:kern w:val="0"/>
                <w:szCs w:val="21"/>
                <w14:textFill>
                  <w14:solidFill>
                    <w14:schemeClr w14:val="tx1"/>
                  </w14:solidFill>
                </w14:textFill>
              </w:rPr>
              <w:t>94</w:t>
            </w: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94</w:t>
            </w: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94</w:t>
            </w: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13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100%</w:t>
            </w:r>
          </w:p>
        </w:tc>
        <w:tc>
          <w:tcPr>
            <w:tcW w:w="1031"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10</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20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yellow"/>
              </w:rPr>
            </w:pPr>
            <w:r>
              <w:rPr>
                <w:rFonts w:hint="eastAsia" w:ascii="仿宋_GB2312" w:hAnsi="宋体" w:eastAsia="仿宋_GB2312" w:cs="宋体"/>
                <w:color w:val="000000" w:themeColor="text1"/>
                <w:kern w:val="0"/>
                <w:szCs w:val="21"/>
                <w14:textFill>
                  <w14:solidFill>
                    <w14:schemeClr w14:val="tx1"/>
                  </w14:solidFill>
                </w14:textFill>
              </w:rPr>
              <w:t>94</w:t>
            </w: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yellow"/>
              </w:rPr>
            </w:pPr>
            <w:r>
              <w:rPr>
                <w:rFonts w:hint="eastAsia" w:ascii="仿宋_GB2312" w:hAnsi="宋体" w:eastAsia="仿宋_GB2312" w:cs="宋体"/>
                <w:color w:val="000000" w:themeColor="text1"/>
                <w:kern w:val="0"/>
                <w:szCs w:val="21"/>
                <w14:textFill>
                  <w14:solidFill>
                    <w14:schemeClr w14:val="tx1"/>
                  </w14:solidFill>
                </w14:textFill>
              </w:rPr>
              <w:t>94</w:t>
            </w: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yellow"/>
              </w:rPr>
            </w:pPr>
            <w:r>
              <w:rPr>
                <w:rFonts w:hint="eastAsia" w:ascii="仿宋_GB2312" w:hAnsi="宋体" w:eastAsia="仿宋_GB2312" w:cs="宋体"/>
                <w:color w:val="000000" w:themeColor="text1"/>
                <w:kern w:val="0"/>
                <w:szCs w:val="21"/>
                <w14:textFill>
                  <w14:solidFill>
                    <w14:schemeClr w14:val="tx1"/>
                  </w14:solidFill>
                </w14:textFill>
              </w:rPr>
              <w:t>94</w:t>
            </w: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13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103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430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4149" w:type="dxa"/>
            <w:gridSpan w:val="8"/>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2552"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304" w:type="dxa"/>
            <w:gridSpan w:val="6"/>
            <w:tcBorders>
              <w:top w:val="single" w:color="auto" w:sz="4" w:space="0"/>
              <w:left w:val="nil"/>
              <w:bottom w:val="single" w:color="auto" w:sz="4" w:space="0"/>
              <w:right w:val="single" w:color="auto" w:sz="4" w:space="0"/>
            </w:tcBorders>
            <w:vAlign w:val="center"/>
          </w:tcPr>
          <w:p>
            <w:pPr>
              <w:widowControl/>
              <w:spacing w:line="240" w:lineRule="exact"/>
              <w:ind w:firstLine="360" w:firstLineChars="200"/>
              <w:rPr>
                <w:rFonts w:ascii="仿宋_GB2312" w:hAnsi="宋体" w:eastAsia="仿宋_GB2312" w:cs="宋体"/>
                <w:kern w:val="0"/>
                <w:szCs w:val="21"/>
              </w:rPr>
            </w:pPr>
            <w:r>
              <w:rPr>
                <w:rFonts w:hint="eastAsia" w:ascii="仿宋_GB2312" w:hAnsi="宋体" w:eastAsia="仿宋_GB2312" w:cs="宋体"/>
                <w:kern w:val="0"/>
                <w:sz w:val="18"/>
                <w:szCs w:val="18"/>
              </w:rPr>
              <w:t>以某区在冬季发生7.0级地震为背景，开展地震波的传播模拟，进而给出以某区为震中的、包含目标研究区域的向外辐射地震破坏力分布图，分析工作分为四方面内容：破坏性地震情景设定、震源-场地模型建模、地震波传播过程模拟和地震动分布场与时程提取。并购买相关计算软件和数据结果，为后续的破坏性地震情景构建工作和系统描述破坏性地震造成的各类灾害后果提供专业支撑，为研究制定破坏性地震发生后应急指挥流程和不同阶段的主要应对措施提供专业支撑。</w:t>
            </w:r>
          </w:p>
        </w:tc>
        <w:tc>
          <w:tcPr>
            <w:tcW w:w="4149" w:type="dxa"/>
            <w:gridSpan w:val="8"/>
            <w:tcBorders>
              <w:top w:val="single" w:color="auto" w:sz="4" w:space="0"/>
              <w:left w:val="nil"/>
              <w:bottom w:val="single" w:color="auto" w:sz="4" w:space="0"/>
              <w:right w:val="single" w:color="auto" w:sz="4" w:space="0"/>
            </w:tcBorders>
            <w:vAlign w:val="center"/>
          </w:tcPr>
          <w:p>
            <w:pPr>
              <w:widowControl/>
              <w:spacing w:line="240" w:lineRule="exact"/>
              <w:ind w:firstLine="360" w:firstLineChars="200"/>
              <w:rPr>
                <w:rFonts w:ascii="仿宋_GB2312" w:hAnsi="宋体" w:eastAsia="仿宋_GB2312" w:cs="宋体"/>
                <w:kern w:val="0"/>
                <w:sz w:val="15"/>
                <w:szCs w:val="15"/>
              </w:rPr>
            </w:pPr>
            <w:r>
              <w:rPr>
                <w:rFonts w:hint="eastAsia" w:ascii="仿宋_GB2312" w:hAnsi="宋体" w:eastAsia="仿宋_GB2312" w:cs="宋体"/>
                <w:kern w:val="0"/>
                <w:sz w:val="18"/>
                <w:szCs w:val="18"/>
              </w:rPr>
              <w:t>以顺义区在冬季发生7.0级地震为背景，开展地震波的传播模拟，进而给出了以顺义区为震中的、包含目标研究区域的向外辐射地震破坏力分布图，分析工作分为四方面内容：破坏性地震情景设定、震源-场地模型建模、地震波传播过程模拟和地震动分布场与时程提取。并购买了相关计算软件和数据结果，为后续的破坏性地震情景构建工作和系统描述破坏性地震造成的各类灾害后果提供专业支撑，为研究制定破坏性地震发生后应急指挥流程和不同阶段的主要应对措施提供专业支撑。</w:t>
            </w:r>
          </w:p>
        </w:tc>
      </w:tr>
      <w:tr>
        <w:tblPrEx>
          <w:tblCellMar>
            <w:top w:w="0" w:type="dxa"/>
            <w:left w:w="108" w:type="dxa"/>
            <w:bottom w:w="0" w:type="dxa"/>
            <w:right w:w="108" w:type="dxa"/>
          </w:tblCellMar>
        </w:tblPrEx>
        <w:trPr>
          <w:trHeight w:val="1335"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082"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（按照绩效目标表里的绩效指标进行填写）</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9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6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15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产出指标（50分）</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082" w:type="dxa"/>
            <w:gridSpan w:val="3"/>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指标1：完成运动学传播模拟、动力学破裂模拟和宽频地震动模拟，产出各任务的成果数据及图件。</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rPr>
            </w:pPr>
            <w:r>
              <w:rPr>
                <w:rFonts w:hint="eastAsia" w:ascii="仿宋_GB2312" w:hAnsi="宋体" w:eastAsia="仿宋_GB2312" w:cs="宋体"/>
                <w:kern w:val="0"/>
                <w:szCs w:val="21"/>
                <w:highlight w:val="none"/>
              </w:rPr>
              <w:t>11项</w:t>
            </w:r>
          </w:p>
        </w:tc>
        <w:tc>
          <w:tcPr>
            <w:tcW w:w="9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rPr>
            </w:pPr>
            <w:r>
              <w:rPr>
                <w:rFonts w:hint="eastAsia" w:ascii="仿宋_GB2312" w:hAnsi="宋体" w:eastAsia="仿宋_GB2312" w:cs="宋体"/>
                <w:kern w:val="0"/>
                <w:szCs w:val="21"/>
                <w:highlight w:val="none"/>
              </w:rPr>
              <w:t>11项</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rPr>
            </w:pPr>
            <w:r>
              <w:rPr>
                <w:rFonts w:hint="eastAsia" w:ascii="仿宋_GB2312" w:hAnsi="宋体" w:eastAsia="仿宋_GB2312" w:cs="宋体"/>
                <w:kern w:val="0"/>
                <w:szCs w:val="21"/>
                <w:highlight w:val="none"/>
              </w:rPr>
              <w:t>25</w:t>
            </w:r>
          </w:p>
        </w:tc>
        <w:tc>
          <w:tcPr>
            <w:tcW w:w="56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21</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258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2082" w:type="dxa"/>
            <w:gridSpan w:val="3"/>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指标1：满足后续的破坏性地震情景构建工作、系统描述破坏性地震造成的各类灾害后果、制定破坏性地震发生后应急指挥流程和不同阶段的主要应对措施所需专业支撑的要求。</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满足</w:t>
            </w:r>
          </w:p>
        </w:tc>
        <w:tc>
          <w:tcPr>
            <w:tcW w:w="9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满足</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rPr>
            </w:pPr>
            <w:r>
              <w:rPr>
                <w:rFonts w:hint="eastAsia" w:ascii="仿宋_GB2312" w:hAnsi="宋体" w:eastAsia="仿宋_GB2312" w:cs="宋体"/>
                <w:kern w:val="0"/>
                <w:szCs w:val="21"/>
                <w:highlight w:val="none"/>
              </w:rPr>
              <w:t>25</w:t>
            </w:r>
          </w:p>
        </w:tc>
        <w:tc>
          <w:tcPr>
            <w:tcW w:w="56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23</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237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082" w:type="dxa"/>
            <w:gridSpan w:val="3"/>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指标1：提升破坏性地震应急处置效率，降低地震灾害风险，减轻经济损失与人员伤亡，具有重要的社会和经济效益，对推动首都大安全格局构建和韧性城市建设具有重要意义。</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w:t>
            </w:r>
          </w:p>
        </w:tc>
        <w:tc>
          <w:tcPr>
            <w:tcW w:w="9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30</w:t>
            </w:r>
          </w:p>
        </w:tc>
        <w:tc>
          <w:tcPr>
            <w:tcW w:w="56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30</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65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指标（1</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服务对象满意度标</w:t>
            </w:r>
          </w:p>
        </w:tc>
        <w:tc>
          <w:tcPr>
            <w:tcW w:w="2082" w:type="dxa"/>
            <w:gridSpan w:val="3"/>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指标1：使用人员满意度。</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90%</w:t>
            </w:r>
          </w:p>
        </w:tc>
        <w:tc>
          <w:tcPr>
            <w:tcW w:w="9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90%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10</w:t>
            </w:r>
          </w:p>
        </w:tc>
        <w:tc>
          <w:tcPr>
            <w:tcW w:w="56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10</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77" w:hRule="exact"/>
          <w:jc w:val="center"/>
        </w:trPr>
        <w:tc>
          <w:tcPr>
            <w:tcW w:w="6499" w:type="dxa"/>
            <w:gridSpan w:val="10"/>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总分</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100</w:t>
            </w:r>
          </w:p>
        </w:tc>
        <w:tc>
          <w:tcPr>
            <w:tcW w:w="56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000000"/>
                <w:kern w:val="0"/>
                <w:szCs w:val="21"/>
                <w:highlight w:val="none"/>
                <w:lang w:val="en-US" w:eastAsia="zh-CN"/>
              </w:rPr>
            </w:pPr>
            <w:r>
              <w:rPr>
                <w:rFonts w:hint="eastAsia" w:ascii="仿宋_GB2312" w:hAnsi="宋体" w:eastAsia="仿宋_GB2312" w:cs="宋体"/>
                <w:color w:val="000000"/>
                <w:kern w:val="0"/>
                <w:szCs w:val="21"/>
                <w:highlight w:val="none"/>
                <w:lang w:val="en-US" w:eastAsia="zh-CN"/>
              </w:rPr>
              <w:t>94</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r>
    </w:tbl>
    <w:p>
      <w:pPr>
        <w:rPr>
          <w:rFonts w:ascii="仿宋_GB2312" w:eastAsia="仿宋_GB2312"/>
          <w:vanish/>
          <w:sz w:val="32"/>
          <w:szCs w:val="32"/>
        </w:rPr>
      </w:pPr>
    </w:p>
    <w:sectPr>
      <w:footerReference r:id="rId3" w:type="default"/>
      <w:pgSz w:w="11906" w:h="16838"/>
      <w:pgMar w:top="1871" w:right="1474" w:bottom="1418" w:left="153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方正舒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JkNTA1ODJlNDZlZmFmY2RjYWExMjlhZTI4YjYwZWUifQ=="/>
    <w:docVar w:name="KSO_WPS_MARK_KEY" w:val="3def290e-08a1-4635-a359-7472090d32e0"/>
  </w:docVars>
  <w:rsids>
    <w:rsidRoot w:val="F77F09F4"/>
    <w:rsid w:val="000F11BD"/>
    <w:rsid w:val="002F4A9B"/>
    <w:rsid w:val="00377EB9"/>
    <w:rsid w:val="004D5957"/>
    <w:rsid w:val="005C2282"/>
    <w:rsid w:val="00691D5B"/>
    <w:rsid w:val="006C68D2"/>
    <w:rsid w:val="007A3133"/>
    <w:rsid w:val="00821524"/>
    <w:rsid w:val="00A23C98"/>
    <w:rsid w:val="00C04F40"/>
    <w:rsid w:val="00C94556"/>
    <w:rsid w:val="00DD53FE"/>
    <w:rsid w:val="00E26DAB"/>
    <w:rsid w:val="00E71B92"/>
    <w:rsid w:val="10E757DF"/>
    <w:rsid w:val="22547340"/>
    <w:rsid w:val="276671E7"/>
    <w:rsid w:val="37173543"/>
    <w:rsid w:val="3A2A3CE6"/>
    <w:rsid w:val="3FF76880"/>
    <w:rsid w:val="4E736404"/>
    <w:rsid w:val="56F02C50"/>
    <w:rsid w:val="58CD03E4"/>
    <w:rsid w:val="6D737185"/>
    <w:rsid w:val="74AD3D02"/>
    <w:rsid w:val="77D13226"/>
    <w:rsid w:val="7AB7FF50"/>
    <w:rsid w:val="7B800187"/>
    <w:rsid w:val="7BFEB0DB"/>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autoRedefine/>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autoRedefine/>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Ty</Company>
  <Pages>2</Pages>
  <Words>915</Words>
  <Characters>971</Characters>
  <Lines>10</Lines>
  <Paragraphs>2</Paragraphs>
  <TotalTime>3</TotalTime>
  <ScaleCrop>false</ScaleCrop>
  <LinksUpToDate>false</LinksUpToDate>
  <CharactersWithSpaces>996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2024-05-10T01:35:00Z</dcterms:created>
  <dc:creator>user</dc:creator>
  <cp:lastModifiedBy>abc</cp:lastModifiedBy>
  <dcterms:modified xsi:type="dcterms:W3CDTF">2024-05-17T09:09:39Z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06D54EF9FA154B80A7FE39EE6A826783_12</vt:lpwstr>
  </property>
</Properties>
</file>